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9D300" w14:textId="5D25D721" w:rsidR="00E57548" w:rsidRPr="008D5786" w:rsidRDefault="00E57548" w:rsidP="007453BA">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w:t>
      </w:r>
      <w:r w:rsidR="00270573">
        <w:rPr>
          <w:b w:val="0"/>
          <w:bCs/>
          <w:sz w:val="24"/>
        </w:rPr>
        <w:t>8</w:t>
      </w:r>
      <w:r w:rsidRPr="008D5786">
        <w:rPr>
          <w:b w:val="0"/>
          <w:bCs/>
          <w:sz w:val="24"/>
        </w:rPr>
        <w:tab/>
      </w:r>
      <w:r>
        <w:rPr>
          <w:b w:val="0"/>
          <w:bCs/>
          <w:sz w:val="24"/>
        </w:rPr>
        <w:tab/>
        <w:t xml:space="preserve"> </w:t>
      </w:r>
      <w:r w:rsidRPr="00C271B1">
        <w:rPr>
          <w:b w:val="0"/>
          <w:bCs/>
          <w:sz w:val="24"/>
        </w:rPr>
        <w:t>R1-</w:t>
      </w:r>
      <w:r w:rsidR="00103C63" w:rsidRPr="00C271B1">
        <w:rPr>
          <w:b w:val="0"/>
          <w:bCs/>
          <w:sz w:val="24"/>
        </w:rPr>
        <w:t>14</w:t>
      </w:r>
      <w:r w:rsidR="00103C63">
        <w:rPr>
          <w:b w:val="0"/>
          <w:bCs/>
          <w:sz w:val="24"/>
        </w:rPr>
        <w:t>3339</w:t>
      </w:r>
    </w:p>
    <w:p w14:paraId="3330741A" w14:textId="2CA5606C" w:rsidR="00E57548" w:rsidRDefault="00270573" w:rsidP="00E57548">
      <w:pPr>
        <w:pStyle w:val="Header"/>
        <w:tabs>
          <w:tab w:val="right" w:pos="8280"/>
          <w:tab w:val="right" w:pos="9781"/>
        </w:tabs>
        <w:ind w:right="-58"/>
        <w:rPr>
          <w:b w:val="0"/>
          <w:bCs/>
          <w:sz w:val="24"/>
        </w:rPr>
      </w:pPr>
      <w:r>
        <w:rPr>
          <w:b w:val="0"/>
          <w:bCs/>
          <w:sz w:val="24"/>
        </w:rPr>
        <w:t>Dresden</w:t>
      </w:r>
      <w:r w:rsidR="00E57548" w:rsidRPr="00C271B1">
        <w:rPr>
          <w:b w:val="0"/>
          <w:bCs/>
          <w:sz w:val="24"/>
        </w:rPr>
        <w:t xml:space="preserve">, </w:t>
      </w:r>
      <w:r>
        <w:rPr>
          <w:b w:val="0"/>
          <w:bCs/>
          <w:sz w:val="24"/>
        </w:rPr>
        <w:t>Germany</w:t>
      </w:r>
      <w:r w:rsidR="00E57548" w:rsidRPr="00C271B1">
        <w:rPr>
          <w:b w:val="0"/>
          <w:bCs/>
          <w:sz w:val="24"/>
        </w:rPr>
        <w:t>, 1</w:t>
      </w:r>
      <w:r>
        <w:rPr>
          <w:b w:val="0"/>
          <w:bCs/>
          <w:sz w:val="24"/>
        </w:rPr>
        <w:t>8</w:t>
      </w:r>
      <w:r w:rsidR="00E57548" w:rsidRPr="00C271B1">
        <w:rPr>
          <w:b w:val="0"/>
          <w:bCs/>
          <w:sz w:val="24"/>
        </w:rPr>
        <w:t xml:space="preserve">th – </w:t>
      </w:r>
      <w:r>
        <w:rPr>
          <w:b w:val="0"/>
          <w:bCs/>
          <w:sz w:val="24"/>
        </w:rPr>
        <w:t>22n</w:t>
      </w:r>
      <w:r w:rsidR="00E57548" w:rsidRPr="00C271B1">
        <w:rPr>
          <w:b w:val="0"/>
          <w:bCs/>
          <w:sz w:val="24"/>
        </w:rPr>
        <w:t xml:space="preserve">d </w:t>
      </w:r>
      <w:r>
        <w:rPr>
          <w:b w:val="0"/>
          <w:bCs/>
          <w:sz w:val="24"/>
        </w:rPr>
        <w:t>August</w:t>
      </w:r>
      <w:r w:rsidR="00E57548" w:rsidRPr="00C271B1">
        <w:rPr>
          <w:b w:val="0"/>
          <w:bCs/>
          <w:sz w:val="24"/>
        </w:rPr>
        <w:t xml:space="preserve">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1630BB61"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93001A" w:rsidRPr="0059109B">
        <w:rPr>
          <w:rFonts w:ascii="Arial" w:eastAsia="Times New Roman" w:hAnsi="Arial" w:cs="Arial"/>
          <w:bCs/>
          <w:sz w:val="24"/>
          <w:szCs w:val="24"/>
        </w:rPr>
        <w:t>Optimization of Secondary Carrier Activation in DRX</w:t>
      </w:r>
    </w:p>
    <w:p w14:paraId="2864DBB1" w14:textId="75289EFD"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103C63">
        <w:rPr>
          <w:rFonts w:ascii="Arial" w:eastAsia="Times New Roman" w:hAnsi="Arial" w:cs="Arial"/>
          <w:sz w:val="24"/>
          <w:szCs w:val="24"/>
          <w:lang w:eastAsia="ko-KR"/>
        </w:rPr>
        <w:t>6.4.2</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bookmarkStart w:id="6" w:name="_GoBack"/>
      <w:bookmarkEnd w:id="6"/>
    </w:p>
    <w:p w14:paraId="19CD9566" w14:textId="77777777" w:rsidR="003A79D8" w:rsidRDefault="0093001A" w:rsidP="0093001A">
      <w:bookmarkStart w:id="7" w:name="OLE_LINK6"/>
      <w:r w:rsidRPr="00A811D8">
        <w:t xml:space="preserve">During RAN#62, a Work Item on Further EUL enhancements was agreed. One of the objectives listed under the WID </w:t>
      </w:r>
      <w:r w:rsidRPr="00A811D8">
        <w:fldChar w:fldCharType="begin"/>
      </w:r>
      <w:r w:rsidRPr="00A811D8">
        <w:instrText xml:space="preserve"> REF _Ref377719135 \r </w:instrText>
      </w:r>
      <w:r>
        <w:instrText xml:space="preserve"> \* MERGEFORMAT </w:instrText>
      </w:r>
      <w:r w:rsidRPr="00A811D8">
        <w:fldChar w:fldCharType="separate"/>
      </w:r>
      <w:r w:rsidRPr="00A811D8">
        <w:t>[1]</w:t>
      </w:r>
      <w:r w:rsidRPr="00A811D8">
        <w:fldChar w:fldCharType="end"/>
      </w:r>
      <w:r w:rsidRPr="00A811D8">
        <w:t xml:space="preserve"> is to introduce enhancements for DTX/DRX </w:t>
      </w:r>
      <w:r>
        <w:t xml:space="preserve">operation. There have been proposals to improve DRX performance for secondary carriers both in the same band and in dual band operation [2], [3], [4]. </w:t>
      </w:r>
    </w:p>
    <w:p w14:paraId="7DBA6BAD" w14:textId="6E560E1A" w:rsidR="003A79D8" w:rsidRDefault="003A79D8" w:rsidP="0093001A">
      <w:r>
        <w:t>The following agreements have been made in this context:</w:t>
      </w:r>
    </w:p>
    <w:p w14:paraId="3CE9E057" w14:textId="0B70A95E" w:rsidR="003A79D8" w:rsidRPr="003A79D8" w:rsidRDefault="003A79D8" w:rsidP="003A79D8">
      <w:pPr>
        <w:pStyle w:val="ListParagraph"/>
        <w:numPr>
          <w:ilvl w:val="0"/>
          <w:numId w:val="19"/>
        </w:numPr>
        <w:rPr>
          <w:i/>
        </w:rPr>
      </w:pPr>
      <w:r w:rsidRPr="003A79D8">
        <w:rPr>
          <w:i/>
        </w:rPr>
        <w:t>Autonomously deactivate the secondary carrier after the 2nd inactivity threshold is reached (instead of moving to 2nd DRX cycle)</w:t>
      </w:r>
    </w:p>
    <w:p w14:paraId="73504E02" w14:textId="7C1E258E" w:rsidR="003A79D8" w:rsidRPr="003A79D8" w:rsidRDefault="003A79D8" w:rsidP="003A79D8">
      <w:pPr>
        <w:pStyle w:val="ListParagraph"/>
        <w:numPr>
          <w:ilvl w:val="0"/>
          <w:numId w:val="19"/>
        </w:numPr>
        <w:rPr>
          <w:i/>
        </w:rPr>
      </w:pPr>
      <w:r w:rsidRPr="003A79D8">
        <w:rPr>
          <w:i/>
        </w:rPr>
        <w:t>If the 2nd inactivity threshold has been reached, only the primary carrier can be used to transmit data to the UE during the 2nd DRX cycle on periods, and when data is received, reception on all carriers is resumed.</w:t>
      </w:r>
    </w:p>
    <w:p w14:paraId="6ACD8BD9" w14:textId="2B93B172" w:rsidR="003A79D8" w:rsidRPr="003A79D8" w:rsidRDefault="003A79D8" w:rsidP="003A79D8">
      <w:pPr>
        <w:pStyle w:val="ListParagraph"/>
        <w:numPr>
          <w:ilvl w:val="0"/>
          <w:numId w:val="19"/>
        </w:numPr>
        <w:rPr>
          <w:i/>
        </w:rPr>
      </w:pPr>
      <w:r w:rsidRPr="003A79D8">
        <w:rPr>
          <w:i/>
        </w:rPr>
        <w:t xml:space="preserve">The inactivity timer is common to all DL carriers, i.e. reset when HS-SCCH is received on any of the DL </w:t>
      </w:r>
      <w:proofErr w:type="gramStart"/>
      <w:r w:rsidRPr="003A79D8">
        <w:rPr>
          <w:i/>
        </w:rPr>
        <w:t>carriers</w:t>
      </w:r>
      <w:proofErr w:type="gramEnd"/>
      <w:r w:rsidRPr="003A79D8">
        <w:rPr>
          <w:i/>
        </w:rPr>
        <w:t>.</w:t>
      </w:r>
    </w:p>
    <w:p w14:paraId="73C1D6B0" w14:textId="5C0B3BCD" w:rsidR="003A79D8" w:rsidRPr="003A79D8" w:rsidRDefault="003A79D8" w:rsidP="003A79D8">
      <w:pPr>
        <w:pStyle w:val="ListParagraph"/>
        <w:numPr>
          <w:ilvl w:val="0"/>
          <w:numId w:val="19"/>
        </w:numPr>
        <w:rPr>
          <w:i/>
        </w:rPr>
      </w:pPr>
      <w:r w:rsidRPr="003A79D8">
        <w:rPr>
          <w:i/>
        </w:rPr>
        <w:t xml:space="preserve">The above </w:t>
      </w:r>
      <w:proofErr w:type="spellStart"/>
      <w:r w:rsidRPr="003A79D8">
        <w:rPr>
          <w:i/>
        </w:rPr>
        <w:t>behavior</w:t>
      </w:r>
      <w:proofErr w:type="spellEnd"/>
      <w:r w:rsidRPr="003A79D8">
        <w:rPr>
          <w:i/>
        </w:rPr>
        <w:t xml:space="preserve"> is applicable to all secondary HS-DSCH carriers, regardless of whether they are on the same band as the primary HS-DSCH carrier or on a different band</w:t>
      </w:r>
    </w:p>
    <w:p w14:paraId="74DF8685" w14:textId="6BAFEEDB" w:rsidR="0093001A" w:rsidRDefault="0093001A" w:rsidP="0093001A">
      <w:r>
        <w:t xml:space="preserve">This contribution presents a simple </w:t>
      </w:r>
      <w:r w:rsidR="003A79D8">
        <w:t xml:space="preserve">enhancement to </w:t>
      </w:r>
      <w:r>
        <w:t>enable further enhancements to DRX performance for smart-phone traffic that tends to be mostly background.</w:t>
      </w:r>
    </w:p>
    <w:p w14:paraId="2864DBB5" w14:textId="233814D3" w:rsidR="00B7216B" w:rsidRDefault="00B7216B" w:rsidP="00B7216B">
      <w:pPr>
        <w:pStyle w:val="Heading1"/>
        <w:rPr>
          <w:lang w:eastAsia="ko-KR"/>
        </w:rPr>
      </w:pPr>
      <w:r>
        <w:rPr>
          <w:lang w:eastAsia="ko-KR"/>
        </w:rPr>
        <w:t>2</w:t>
      </w:r>
      <w:r>
        <w:rPr>
          <w:lang w:eastAsia="ko-KR"/>
        </w:rPr>
        <w:tab/>
      </w:r>
      <w:r w:rsidR="0093001A">
        <w:t>Smartphone Traffic patterns</w:t>
      </w:r>
    </w:p>
    <w:p w14:paraId="53365A0A" w14:textId="11653569" w:rsidR="0093001A" w:rsidRDefault="0093001A" w:rsidP="0093001A">
      <w:pPr>
        <w:pStyle w:val="Heading1"/>
        <w:ind w:left="0" w:firstLine="0"/>
        <w:rPr>
          <w:rFonts w:ascii="Times New Roman" w:hAnsi="Times New Roman"/>
          <w:sz w:val="20"/>
        </w:rPr>
      </w:pPr>
      <w:bookmarkStart w:id="8" w:name="OLE_LINK79"/>
      <w:bookmarkStart w:id="9" w:name="OLE_LINK222"/>
      <w:bookmarkEnd w:id="4"/>
      <w:bookmarkEnd w:id="5"/>
      <w:bookmarkEnd w:id="7"/>
      <w:r w:rsidRPr="00256B6D">
        <w:rPr>
          <w:rFonts w:ascii="Times New Roman" w:hAnsi="Times New Roman"/>
          <w:sz w:val="20"/>
        </w:rPr>
        <w:t>I</w:t>
      </w:r>
      <w:r>
        <w:rPr>
          <w:rFonts w:ascii="Times New Roman" w:hAnsi="Times New Roman"/>
          <w:sz w:val="20"/>
        </w:rPr>
        <w:t xml:space="preserve">n this section, results are presented from </w:t>
      </w:r>
      <w:r w:rsidR="008771A9">
        <w:rPr>
          <w:rFonts w:ascii="Times New Roman" w:hAnsi="Times New Roman"/>
          <w:sz w:val="20"/>
        </w:rPr>
        <w:t xml:space="preserve">Facebook </w:t>
      </w:r>
      <w:r>
        <w:rPr>
          <w:rFonts w:ascii="Times New Roman" w:hAnsi="Times New Roman"/>
          <w:sz w:val="20"/>
        </w:rPr>
        <w:t xml:space="preserve">data activity on smartphones. </w:t>
      </w:r>
      <w:r w:rsidR="00C762C0">
        <w:rPr>
          <w:rFonts w:ascii="Times New Roman" w:hAnsi="Times New Roman"/>
          <w:sz w:val="20"/>
        </w:rPr>
        <w:t xml:space="preserve">The data collected represents the use of </w:t>
      </w:r>
      <w:r>
        <w:rPr>
          <w:rFonts w:ascii="Times New Roman" w:hAnsi="Times New Roman"/>
          <w:sz w:val="20"/>
        </w:rPr>
        <w:t xml:space="preserve">Facebook application for </w:t>
      </w:r>
      <w:r w:rsidR="00C762C0">
        <w:rPr>
          <w:rFonts w:ascii="Times New Roman" w:hAnsi="Times New Roman"/>
          <w:sz w:val="20"/>
        </w:rPr>
        <w:t xml:space="preserve">around </w:t>
      </w:r>
      <w:r>
        <w:rPr>
          <w:rFonts w:ascii="Times New Roman" w:hAnsi="Times New Roman"/>
          <w:sz w:val="20"/>
        </w:rPr>
        <w:t>4 minutes</w:t>
      </w:r>
      <w:r w:rsidR="00C762C0">
        <w:rPr>
          <w:rFonts w:ascii="Times New Roman" w:hAnsi="Times New Roman"/>
          <w:sz w:val="20"/>
        </w:rPr>
        <w:t>.</w:t>
      </w:r>
      <w:r>
        <w:rPr>
          <w:rFonts w:ascii="Times New Roman" w:hAnsi="Times New Roman"/>
          <w:sz w:val="20"/>
        </w:rPr>
        <w:t xml:space="preserve"> </w:t>
      </w:r>
      <w:r w:rsidR="00C762C0">
        <w:rPr>
          <w:rFonts w:ascii="Times New Roman" w:hAnsi="Times New Roman"/>
          <w:sz w:val="20"/>
        </w:rPr>
        <w:t xml:space="preserve">The activity consists of a variety of actions taken commonly on Facebook: viewing of </w:t>
      </w:r>
      <w:r>
        <w:rPr>
          <w:rFonts w:ascii="Times New Roman" w:hAnsi="Times New Roman"/>
          <w:sz w:val="20"/>
        </w:rPr>
        <w:t>pictures</w:t>
      </w:r>
      <w:r w:rsidR="00C762C0">
        <w:rPr>
          <w:rFonts w:ascii="Times New Roman" w:hAnsi="Times New Roman"/>
          <w:sz w:val="20"/>
        </w:rPr>
        <w:t xml:space="preserve"> and videos</w:t>
      </w:r>
      <w:r>
        <w:rPr>
          <w:rFonts w:ascii="Times New Roman" w:hAnsi="Times New Roman"/>
          <w:sz w:val="20"/>
        </w:rPr>
        <w:t xml:space="preserve">, </w:t>
      </w:r>
      <w:r w:rsidR="00C762C0">
        <w:rPr>
          <w:rFonts w:ascii="Times New Roman" w:hAnsi="Times New Roman"/>
          <w:sz w:val="20"/>
        </w:rPr>
        <w:t>writing comments on threads, browsing of</w:t>
      </w:r>
      <w:r>
        <w:rPr>
          <w:rFonts w:ascii="Times New Roman" w:hAnsi="Times New Roman"/>
          <w:sz w:val="20"/>
        </w:rPr>
        <w:t xml:space="preserve"> web-pages</w:t>
      </w:r>
      <w:r w:rsidR="00C762C0">
        <w:rPr>
          <w:rFonts w:ascii="Times New Roman" w:hAnsi="Times New Roman"/>
          <w:sz w:val="20"/>
        </w:rPr>
        <w:t xml:space="preserve"> etc</w:t>
      </w:r>
      <w:r>
        <w:rPr>
          <w:rFonts w:ascii="Times New Roman" w:hAnsi="Times New Roman"/>
          <w:sz w:val="20"/>
        </w:rPr>
        <w:t xml:space="preserve">. </w:t>
      </w:r>
      <w:r w:rsidR="00C762C0">
        <w:rPr>
          <w:rFonts w:ascii="Times New Roman" w:hAnsi="Times New Roman"/>
          <w:sz w:val="20"/>
        </w:rPr>
        <w:t xml:space="preserve">Once the activity is completed, the phone is kept on for a further </w:t>
      </w:r>
      <w:r>
        <w:rPr>
          <w:rFonts w:ascii="Times New Roman" w:hAnsi="Times New Roman"/>
          <w:sz w:val="20"/>
        </w:rPr>
        <w:t xml:space="preserve">19 minutes. </w:t>
      </w:r>
    </w:p>
    <w:p w14:paraId="5AB55ABC" w14:textId="6629F2FE" w:rsidR="007C1368" w:rsidRDefault="0093001A" w:rsidP="0093001A">
      <w:pPr>
        <w:jc w:val="center"/>
      </w:pPr>
      <w:r>
        <w:rPr>
          <w:noProof/>
          <w:lang w:val="en-US"/>
        </w:rPr>
        <w:drawing>
          <wp:inline distT="0" distB="0" distL="0" distR="0" wp14:anchorId="1F21E864" wp14:editId="37AA3B7C">
            <wp:extent cx="5063556" cy="283972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5400" cy="2840758"/>
                    </a:xfrm>
                    <a:prstGeom prst="rect">
                      <a:avLst/>
                    </a:prstGeom>
                    <a:noFill/>
                  </pic:spPr>
                </pic:pic>
              </a:graphicData>
            </a:graphic>
          </wp:inline>
        </w:drawing>
      </w:r>
    </w:p>
    <w:p w14:paraId="5E9AAA8A" w14:textId="3D94A6A0" w:rsidR="007C1368" w:rsidRPr="00C762C0" w:rsidRDefault="007C1368" w:rsidP="00C762C0">
      <w:pPr>
        <w:pStyle w:val="Caption"/>
        <w:jc w:val="center"/>
        <w:rPr>
          <w:b w:val="0"/>
          <w:bCs w:val="0"/>
        </w:rPr>
      </w:pPr>
      <w:r>
        <w:t>Figure</w:t>
      </w:r>
      <w:r w:rsidRPr="00A01ECA">
        <w:t xml:space="preserve"> </w:t>
      </w:r>
      <w:r>
        <w:t>1:</w:t>
      </w:r>
      <w:r w:rsidRPr="00A01ECA">
        <w:t xml:space="preserve"> </w:t>
      </w:r>
      <w:r w:rsidR="0093001A" w:rsidRPr="0093001A">
        <w:rPr>
          <w:b w:val="0"/>
          <w:bCs w:val="0"/>
        </w:rPr>
        <w:t xml:space="preserve">Data activity for </w:t>
      </w:r>
      <w:proofErr w:type="spellStart"/>
      <w:r w:rsidR="0093001A" w:rsidRPr="0093001A">
        <w:rPr>
          <w:b w:val="0"/>
          <w:bCs w:val="0"/>
        </w:rPr>
        <w:t>facebook</w:t>
      </w:r>
      <w:proofErr w:type="spellEnd"/>
      <w:r w:rsidR="0093001A" w:rsidRPr="0093001A">
        <w:rPr>
          <w:b w:val="0"/>
          <w:bCs w:val="0"/>
        </w:rPr>
        <w:t xml:space="preserve"> traffic on smartphones. All </w:t>
      </w:r>
      <w:proofErr w:type="spellStart"/>
      <w:r w:rsidR="0093001A" w:rsidRPr="0093001A">
        <w:rPr>
          <w:b w:val="0"/>
          <w:bCs w:val="0"/>
        </w:rPr>
        <w:t>conections</w:t>
      </w:r>
      <w:proofErr w:type="spellEnd"/>
      <w:r w:rsidR="0093001A" w:rsidRPr="0093001A">
        <w:rPr>
          <w:b w:val="0"/>
          <w:bCs w:val="0"/>
        </w:rPr>
        <w:t xml:space="preserve"> are overlapped. </w:t>
      </w:r>
    </w:p>
    <w:p w14:paraId="72F94569" w14:textId="6056C5E5" w:rsidR="0093001A" w:rsidRDefault="0093001A" w:rsidP="00C762C0">
      <w:r>
        <w:lastRenderedPageBreak/>
        <w:t xml:space="preserve">From Figure 1, we see that most of the connections close after 400 sec </w:t>
      </w:r>
      <w:r w:rsidR="00C762C0">
        <w:t xml:space="preserve">which correspond to the majority of the activity. In addition, there are periodic data transfers with small </w:t>
      </w:r>
      <w:r>
        <w:t>amount</w:t>
      </w:r>
      <w:r w:rsidR="00C762C0">
        <w:t>s</w:t>
      </w:r>
      <w:r>
        <w:t xml:space="preserve"> of traffic with a periodicity of </w:t>
      </w:r>
      <w:r w:rsidR="00C762C0">
        <w:t xml:space="preserve">around </w:t>
      </w:r>
      <w:r>
        <w:t>200 sec. This suggests that modern-day smart phone ap</w:t>
      </w:r>
      <w:r w:rsidR="00C762C0">
        <w:t xml:space="preserve">plications have a data traffic bursts </w:t>
      </w:r>
      <w:r>
        <w:t xml:space="preserve">followed by low-rate periodic data transfers to support background traffic. </w:t>
      </w:r>
    </w:p>
    <w:p w14:paraId="31FD3D24" w14:textId="77777777" w:rsidR="00C762C0" w:rsidRDefault="0093001A" w:rsidP="0093001A">
      <w:r>
        <w:t xml:space="preserve">This traffic pattern implies that multiple carriers could </w:t>
      </w:r>
      <w:r w:rsidR="00C762C0">
        <w:t>be used during the data-intensive p</w:t>
      </w:r>
      <w:r>
        <w:t xml:space="preserve">hase </w:t>
      </w:r>
      <w:r w:rsidR="00C762C0">
        <w:t xml:space="preserve">followed by </w:t>
      </w:r>
      <w:r>
        <w:t xml:space="preserve">single carrier </w:t>
      </w:r>
      <w:r w:rsidR="00C762C0">
        <w:t>usage</w:t>
      </w:r>
      <w:r>
        <w:t xml:space="preserve"> for the background traffic (whenever it arrives). </w:t>
      </w:r>
    </w:p>
    <w:p w14:paraId="5FE8AFD3" w14:textId="3BCB0CED" w:rsidR="0093001A" w:rsidRDefault="00C762C0" w:rsidP="0093001A">
      <w:r>
        <w:t>Hence, the defined mechanism</w:t>
      </w:r>
      <w:r w:rsidR="0093001A">
        <w:t xml:space="preserve">, where all the carriers are switched on when data arrives, may not be ideal for battery savings to transport small amounts of background traffic. Note that while the </w:t>
      </w:r>
      <w:r w:rsidR="008771A9">
        <w:t xml:space="preserve">Facebook </w:t>
      </w:r>
      <w:r w:rsidR="0093001A">
        <w:t>tests demonstrated 200 sec periodicity, there could be many other applications that have much smaller periodicity making it important not to switch secondary carriers on for small chunks of data.</w:t>
      </w:r>
    </w:p>
    <w:p w14:paraId="2864DBC7" w14:textId="17639C2E" w:rsidR="00B7216B" w:rsidRDefault="00B7216B" w:rsidP="00B7216B">
      <w:pPr>
        <w:pStyle w:val="Heading1"/>
      </w:pPr>
      <w:r>
        <w:t>3</w:t>
      </w:r>
      <w:r>
        <w:tab/>
      </w:r>
      <w:r w:rsidR="0093001A">
        <w:t>DRX enhancement</w:t>
      </w:r>
    </w:p>
    <w:bookmarkEnd w:id="8"/>
    <w:p w14:paraId="71DC1928" w14:textId="77777777" w:rsidR="0093001A" w:rsidRDefault="0093001A" w:rsidP="0093001A">
      <w:r>
        <w:t xml:space="preserve">As in [4], upon reception of data in the primary carrier, the UE exits DRX mode and re-starts the </w:t>
      </w:r>
      <w:proofErr w:type="spellStart"/>
      <w:r>
        <w:t>Inactivity_Threshold_for_UE_DRX_cycle</w:t>
      </w:r>
      <w:proofErr w:type="spellEnd"/>
      <w:r>
        <w:t xml:space="preserve"> timer. In [4], all secondary carriers are activated except the ones that have been explicitly de-activated by an HS-SCCH order. </w:t>
      </w:r>
    </w:p>
    <w:p w14:paraId="23BE01FA" w14:textId="406C2B66" w:rsidR="0093001A" w:rsidRDefault="0093001A" w:rsidP="00C762C0">
      <w:r>
        <w:t xml:space="preserve">Given the nature of smart phone traffic, it is </w:t>
      </w:r>
      <w:r w:rsidR="00C762C0">
        <w:t>preferable</w:t>
      </w:r>
      <w:r>
        <w:t xml:space="preserve"> to keep the secondary carriers de-activated </w:t>
      </w:r>
      <w:r w:rsidR="00C762C0">
        <w:t>thereby</w:t>
      </w:r>
      <w:r>
        <w:t xml:space="preserve"> </w:t>
      </w:r>
      <w:r w:rsidR="00C762C0">
        <w:t xml:space="preserve">saving battery life </w:t>
      </w:r>
      <w:r>
        <w:t xml:space="preserve">for the UE. </w:t>
      </w:r>
      <w:r w:rsidR="00C762C0">
        <w:t xml:space="preserve">If large amounts of data arrive at the </w:t>
      </w:r>
      <w:proofErr w:type="spellStart"/>
      <w:r w:rsidR="00C762C0">
        <w:t>NodeB</w:t>
      </w:r>
      <w:proofErr w:type="spellEnd"/>
      <w:r w:rsidR="00C762C0">
        <w:t xml:space="preserve"> buffers, then an </w:t>
      </w:r>
      <w:r>
        <w:t xml:space="preserve">explicit HS-SCCH order </w:t>
      </w:r>
      <w:r w:rsidR="00C762C0">
        <w:t xml:space="preserve">can be transmitted </w:t>
      </w:r>
      <w:r>
        <w:t>to activat</w:t>
      </w:r>
      <w:r w:rsidR="00C762C0">
        <w:t>e the secondary carriers as needed</w:t>
      </w:r>
      <w:r>
        <w:t>.</w:t>
      </w:r>
    </w:p>
    <w:p w14:paraId="5B970F92" w14:textId="22EE7E39" w:rsidR="0093001A" w:rsidRDefault="003A2CEC" w:rsidP="0093001A">
      <w:r>
        <w:rPr>
          <w:noProof/>
          <w:lang w:val="en-US"/>
        </w:rPr>
        <w:drawing>
          <wp:inline distT="0" distB="0" distL="0" distR="0" wp14:anchorId="2C440FAF" wp14:editId="7BC59CD9">
            <wp:extent cx="6120765" cy="1747825"/>
            <wp:effectExtent l="0" t="0" r="0" b="5080"/>
            <wp:docPr id="1" name="Picture 1" descr="W:\Docs\RAN_Aug2014\my_contributions\DRXenh.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Docs\RAN_Aug2014\my_contributions\DRXenh.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47825"/>
                    </a:xfrm>
                    <a:prstGeom prst="rect">
                      <a:avLst/>
                    </a:prstGeom>
                    <a:noFill/>
                    <a:ln>
                      <a:noFill/>
                    </a:ln>
                  </pic:spPr>
                </pic:pic>
              </a:graphicData>
            </a:graphic>
          </wp:inline>
        </w:drawing>
      </w:r>
    </w:p>
    <w:p w14:paraId="4D3D4ACD" w14:textId="77777777" w:rsidR="0093001A" w:rsidRPr="00FC4BC5" w:rsidRDefault="0093001A" w:rsidP="0093001A"/>
    <w:p w14:paraId="436B707E" w14:textId="3B49633D" w:rsidR="0093001A" w:rsidRPr="003F41EA" w:rsidRDefault="0093001A" w:rsidP="0093001A">
      <w:pPr>
        <w:pStyle w:val="Caption"/>
        <w:jc w:val="center"/>
        <w:rPr>
          <w:b w:val="0"/>
          <w:bCs w:val="0"/>
        </w:rPr>
      </w:pPr>
      <w:r>
        <w:t>Figure</w:t>
      </w:r>
      <w:r w:rsidRPr="00A01ECA">
        <w:t xml:space="preserve"> </w:t>
      </w:r>
      <w:r>
        <w:rPr>
          <w:b w:val="0"/>
          <w:bCs w:val="0"/>
        </w:rPr>
        <w:t>2</w:t>
      </w:r>
      <w:r>
        <w:t>:</w:t>
      </w:r>
      <w:r w:rsidRPr="00A01ECA">
        <w:t xml:space="preserve"> </w:t>
      </w:r>
      <w:r>
        <w:rPr>
          <w:b w:val="0"/>
          <w:bCs w:val="0"/>
        </w:rPr>
        <w:t xml:space="preserve">Activation of primary carrier after data reception but activation of secondary carrier after HS-SCCH order is executed.  </w:t>
      </w:r>
    </w:p>
    <w:p w14:paraId="2864DBC9" w14:textId="28FA2B8A" w:rsidR="004C352E" w:rsidRDefault="005D37E1" w:rsidP="00270573">
      <w:pPr>
        <w:jc w:val="both"/>
        <w:rPr>
          <w:lang w:eastAsia="zh-CN"/>
        </w:rPr>
      </w:pPr>
      <w:r>
        <w:rPr>
          <w:lang w:eastAsia="zh-CN"/>
        </w:rPr>
        <w:t>In the absence of this minor enhancement, it is possible that the UE would be constantly activating carriers that aren’t really used for data transmissions. While autonomous deactivations do assist in improving UE battery life, this enhancement can help optimize battery life further.</w:t>
      </w:r>
    </w:p>
    <w:p w14:paraId="10719927" w14:textId="77777777" w:rsidR="005D37E1" w:rsidRDefault="005D37E1" w:rsidP="00270573">
      <w:pPr>
        <w:jc w:val="both"/>
        <w:rPr>
          <w:lang w:eastAsia="zh-CN"/>
        </w:rPr>
      </w:pPr>
      <w:r w:rsidRPr="005D37E1">
        <w:rPr>
          <w:b/>
          <w:lang w:eastAsia="zh-CN"/>
        </w:rPr>
        <w:t>Proposal:</w:t>
      </w:r>
      <w:r>
        <w:rPr>
          <w:lang w:eastAsia="zh-CN"/>
        </w:rPr>
        <w:t xml:space="preserve"> After autonomous deactivation of secondary DL carriers, the carriers are kept deactivated even after reception of data from the primary serving HS-DSCH cell. HS-SCCH orders are used to reactivate the DL secondary serving cells as needed.</w:t>
      </w:r>
    </w:p>
    <w:p w14:paraId="78CEB1D2" w14:textId="77777777" w:rsidR="0093001A" w:rsidRPr="00270573" w:rsidRDefault="0093001A" w:rsidP="0093001A"/>
    <w:p w14:paraId="2C88C604" w14:textId="3D732700" w:rsidR="0093001A" w:rsidRDefault="0093001A" w:rsidP="0093001A">
      <w:pPr>
        <w:pStyle w:val="Heading1"/>
      </w:pPr>
      <w:r>
        <w:t>4</w:t>
      </w:r>
      <w:r>
        <w:tab/>
        <w:t>Conclusion</w:t>
      </w:r>
    </w:p>
    <w:p w14:paraId="56E5A06D" w14:textId="3F59BCD1" w:rsidR="0093001A" w:rsidRDefault="00F22872" w:rsidP="00270573">
      <w:pPr>
        <w:jc w:val="both"/>
        <w:rPr>
          <w:lang w:eastAsia="zh-CN"/>
        </w:rPr>
      </w:pPr>
      <w:r>
        <w:rPr>
          <w:lang w:eastAsia="zh-CN"/>
        </w:rPr>
        <w:t xml:space="preserve">In this </w:t>
      </w:r>
      <w:r w:rsidR="005D37E1">
        <w:rPr>
          <w:lang w:eastAsia="zh-CN"/>
        </w:rPr>
        <w:t xml:space="preserve">contribution, an enhancement to the DRX operation </w:t>
      </w:r>
      <w:r>
        <w:rPr>
          <w:lang w:eastAsia="zh-CN"/>
        </w:rPr>
        <w:t xml:space="preserve">is discussed </w:t>
      </w:r>
      <w:r w:rsidR="005D37E1">
        <w:rPr>
          <w:lang w:eastAsia="zh-CN"/>
        </w:rPr>
        <w:t>with regards to autonomous deactivation. Due to typical smartphone</w:t>
      </w:r>
      <w:r>
        <w:rPr>
          <w:lang w:eastAsia="zh-CN"/>
        </w:rPr>
        <w:t xml:space="preserve"> traffic patterns </w:t>
      </w:r>
      <w:r w:rsidR="005D37E1">
        <w:rPr>
          <w:lang w:eastAsia="zh-CN"/>
        </w:rPr>
        <w:t>observed in common applications; it is considered that secondary carrier usage should be minimized to improve battery life performance</w:t>
      </w:r>
      <w:r>
        <w:rPr>
          <w:lang w:eastAsia="zh-CN"/>
        </w:rPr>
        <w:t xml:space="preserve">. </w:t>
      </w:r>
      <w:r w:rsidR="005D37E1">
        <w:rPr>
          <w:lang w:eastAsia="zh-CN"/>
        </w:rPr>
        <w:t xml:space="preserve">An example of the use of </w:t>
      </w:r>
      <w:r>
        <w:rPr>
          <w:lang w:eastAsia="zh-CN"/>
        </w:rPr>
        <w:t xml:space="preserve">Facebook usage data is presented and it was observed that </w:t>
      </w:r>
      <w:r w:rsidR="005D37E1">
        <w:rPr>
          <w:lang w:eastAsia="zh-CN"/>
        </w:rPr>
        <w:t xml:space="preserve">periodic </w:t>
      </w:r>
      <w:r>
        <w:rPr>
          <w:lang w:eastAsia="zh-CN"/>
        </w:rPr>
        <w:t xml:space="preserve">background traffic </w:t>
      </w:r>
      <w:r w:rsidR="005D37E1">
        <w:rPr>
          <w:lang w:eastAsia="zh-CN"/>
        </w:rPr>
        <w:t xml:space="preserve">is common </w:t>
      </w:r>
      <w:r>
        <w:rPr>
          <w:lang w:eastAsia="zh-CN"/>
        </w:rPr>
        <w:t>after a high rate initial phase. Hence, the following proposal is made:</w:t>
      </w:r>
    </w:p>
    <w:p w14:paraId="4EFFDA1C" w14:textId="77777777" w:rsidR="005D37E1" w:rsidRDefault="005D37E1" w:rsidP="005D37E1">
      <w:pPr>
        <w:jc w:val="both"/>
        <w:rPr>
          <w:lang w:eastAsia="zh-CN"/>
        </w:rPr>
      </w:pPr>
      <w:r w:rsidRPr="005D37E1">
        <w:rPr>
          <w:b/>
          <w:lang w:eastAsia="zh-CN"/>
        </w:rPr>
        <w:t>Proposal:</w:t>
      </w:r>
      <w:r>
        <w:rPr>
          <w:lang w:eastAsia="zh-CN"/>
        </w:rPr>
        <w:t xml:space="preserve"> After autonomous deactivation of secondary DL carriers, the carriers are kept deactivated even after reception of data from the primary serving HS-DSCH cell. HS-SCCH orders are used to reactivate the DL secondary serving cells as needed.</w:t>
      </w:r>
    </w:p>
    <w:p w14:paraId="2864DBCB" w14:textId="5F84C985" w:rsidR="00B7216B" w:rsidRPr="00B16982" w:rsidRDefault="00C762C0" w:rsidP="00B7216B">
      <w:pPr>
        <w:pStyle w:val="Heading1"/>
        <w:rPr>
          <w:kern w:val="2"/>
          <w:lang w:val="en-US" w:eastAsia="zh-CN"/>
        </w:rPr>
      </w:pPr>
      <w:r>
        <w:rPr>
          <w:kern w:val="2"/>
          <w:lang w:val="en-US" w:eastAsia="zh-CN"/>
        </w:rPr>
        <w:lastRenderedPageBreak/>
        <w:t>5</w:t>
      </w:r>
      <w:r w:rsidR="00B7216B">
        <w:rPr>
          <w:kern w:val="2"/>
          <w:lang w:val="en-US" w:eastAsia="zh-CN"/>
        </w:rPr>
        <w:tab/>
      </w:r>
      <w:r w:rsidR="00B7216B" w:rsidRPr="00B16982">
        <w:rPr>
          <w:kern w:val="2"/>
          <w:lang w:val="en-US" w:eastAsia="zh-CN"/>
        </w:rPr>
        <w:t>References</w:t>
      </w:r>
    </w:p>
    <w:p w14:paraId="3D4AC3F5" w14:textId="0FC748D3" w:rsidR="005C399B" w:rsidRDefault="005C399B" w:rsidP="005C399B">
      <w:pPr>
        <w:pStyle w:val="Reference"/>
        <w:numPr>
          <w:ilvl w:val="0"/>
          <w:numId w:val="0"/>
        </w:numPr>
        <w:overflowPunct/>
        <w:autoSpaceDE/>
        <w:autoSpaceDN/>
        <w:adjustRightInd/>
        <w:spacing w:before="120" w:after="0" w:line="280" w:lineRule="atLeast"/>
        <w:textAlignment w:val="auto"/>
        <w:rPr>
          <w:sz w:val="20"/>
        </w:rPr>
      </w:pPr>
      <w:bookmarkStart w:id="10" w:name="_Ref261362716"/>
      <w:bookmarkStart w:id="11" w:name="_Ref269386579"/>
      <w:bookmarkStart w:id="12" w:name="_Ref272239320"/>
      <w:bookmarkEnd w:id="9"/>
      <w:r>
        <w:rPr>
          <w:bCs/>
          <w:kern w:val="2"/>
          <w:sz w:val="20"/>
        </w:rPr>
        <w:t xml:space="preserve">[1] </w:t>
      </w:r>
      <w:r w:rsidR="00270573" w:rsidRPr="006932DB">
        <w:rPr>
          <w:sz w:val="20"/>
        </w:rPr>
        <w:t>RP-132078</w:t>
      </w:r>
      <w:r w:rsidR="00270573" w:rsidRPr="00942063">
        <w:rPr>
          <w:sz w:val="20"/>
        </w:rPr>
        <w:t>, “</w:t>
      </w:r>
      <w:r w:rsidR="00270573" w:rsidRPr="006932DB">
        <w:rPr>
          <w:sz w:val="20"/>
        </w:rPr>
        <w:t>New Work Item proposal: Further EUL enhancements</w:t>
      </w:r>
      <w:r w:rsidR="00270573" w:rsidRPr="00942063">
        <w:rPr>
          <w:sz w:val="20"/>
        </w:rPr>
        <w:t xml:space="preserve">”, </w:t>
      </w:r>
      <w:r w:rsidR="00270573" w:rsidRPr="006932DB">
        <w:rPr>
          <w:bCs/>
          <w:kern w:val="2"/>
          <w:sz w:val="20"/>
        </w:rPr>
        <w:t>Ericsson</w:t>
      </w:r>
      <w:r w:rsidR="00270573">
        <w:rPr>
          <w:bCs/>
          <w:kern w:val="2"/>
          <w:sz w:val="20"/>
        </w:rPr>
        <w:t xml:space="preserve">, </w:t>
      </w:r>
      <w:r w:rsidR="00270573" w:rsidRPr="006932DB">
        <w:rPr>
          <w:bCs/>
          <w:kern w:val="2"/>
          <w:sz w:val="20"/>
        </w:rPr>
        <w:t>Qualcomm Incorporated</w:t>
      </w:r>
      <w:r w:rsidR="00270573">
        <w:rPr>
          <w:bCs/>
          <w:kern w:val="2"/>
          <w:sz w:val="20"/>
        </w:rPr>
        <w:t xml:space="preserve">, </w:t>
      </w:r>
      <w:r w:rsidR="00270573" w:rsidRPr="006932DB">
        <w:rPr>
          <w:bCs/>
          <w:kern w:val="2"/>
          <w:sz w:val="20"/>
        </w:rPr>
        <w:t>Huawei</w:t>
      </w:r>
      <w:r w:rsidR="00270573">
        <w:rPr>
          <w:bCs/>
          <w:kern w:val="2"/>
          <w:sz w:val="20"/>
        </w:rPr>
        <w:t xml:space="preserve">, </w:t>
      </w:r>
      <w:r w:rsidR="00270573" w:rsidRPr="006932DB">
        <w:rPr>
          <w:bCs/>
          <w:kern w:val="2"/>
          <w:sz w:val="20"/>
        </w:rPr>
        <w:t>Hi-Silicon</w:t>
      </w:r>
      <w:r w:rsidR="00270573">
        <w:rPr>
          <w:bCs/>
          <w:kern w:val="2"/>
          <w:sz w:val="20"/>
        </w:rPr>
        <w:t xml:space="preserve">, </w:t>
      </w:r>
      <w:r w:rsidR="00270573" w:rsidRPr="006932DB">
        <w:rPr>
          <w:bCs/>
          <w:kern w:val="2"/>
          <w:sz w:val="20"/>
        </w:rPr>
        <w:t>Vodafone</w:t>
      </w:r>
      <w:r w:rsidR="00270573">
        <w:rPr>
          <w:bCs/>
          <w:kern w:val="2"/>
          <w:sz w:val="20"/>
        </w:rPr>
        <w:t xml:space="preserve">, </w:t>
      </w:r>
      <w:r w:rsidR="00270573" w:rsidRPr="006932DB">
        <w:rPr>
          <w:bCs/>
          <w:kern w:val="2"/>
          <w:sz w:val="20"/>
        </w:rPr>
        <w:t>NSN</w:t>
      </w:r>
      <w:r w:rsidR="00270573">
        <w:rPr>
          <w:bCs/>
          <w:kern w:val="2"/>
          <w:sz w:val="20"/>
        </w:rPr>
        <w:t xml:space="preserve">, </w:t>
      </w:r>
      <w:proofErr w:type="spellStart"/>
      <w:r w:rsidR="00270573" w:rsidRPr="006932DB">
        <w:rPr>
          <w:bCs/>
          <w:kern w:val="2"/>
          <w:sz w:val="20"/>
        </w:rPr>
        <w:t>InterDigital</w:t>
      </w:r>
      <w:proofErr w:type="spellEnd"/>
      <w:r w:rsidR="00270573" w:rsidRPr="006932DB">
        <w:rPr>
          <w:bCs/>
          <w:kern w:val="2"/>
          <w:sz w:val="20"/>
        </w:rPr>
        <w:t xml:space="preserve"> Communications</w:t>
      </w:r>
      <w:r w:rsidR="00270573" w:rsidRPr="00942063">
        <w:rPr>
          <w:sz w:val="20"/>
        </w:rPr>
        <w:t>.</w:t>
      </w:r>
      <w:bookmarkEnd w:id="10"/>
      <w:bookmarkEnd w:id="11"/>
      <w:bookmarkEnd w:id="12"/>
    </w:p>
    <w:p w14:paraId="2864DBCF" w14:textId="360C8EA7" w:rsidR="00942063" w:rsidRPr="005C399B" w:rsidRDefault="00C762C0" w:rsidP="005C399B">
      <w:pPr>
        <w:pStyle w:val="Reference"/>
        <w:numPr>
          <w:ilvl w:val="0"/>
          <w:numId w:val="0"/>
        </w:numPr>
        <w:overflowPunct/>
        <w:autoSpaceDE/>
        <w:autoSpaceDN/>
        <w:adjustRightInd/>
        <w:spacing w:before="120" w:after="0" w:line="280" w:lineRule="atLeast"/>
        <w:textAlignment w:val="auto"/>
        <w:rPr>
          <w:bCs/>
          <w:kern w:val="2"/>
          <w:sz w:val="20"/>
        </w:rPr>
      </w:pPr>
      <w:r>
        <w:rPr>
          <w:bCs/>
          <w:kern w:val="2"/>
          <w:sz w:val="20"/>
        </w:rPr>
        <w:t xml:space="preserve">[2] </w:t>
      </w:r>
      <w:r w:rsidR="001F05F3" w:rsidRPr="005C399B">
        <w:rPr>
          <w:bCs/>
          <w:kern w:val="2"/>
          <w:sz w:val="20"/>
        </w:rPr>
        <w:t>TR 25.</w:t>
      </w:r>
      <w:r w:rsidR="00270573" w:rsidRPr="005C399B">
        <w:rPr>
          <w:bCs/>
          <w:kern w:val="2"/>
          <w:sz w:val="20"/>
        </w:rPr>
        <w:t>214</w:t>
      </w:r>
      <w:r w:rsidR="00942063" w:rsidRPr="005C399B">
        <w:rPr>
          <w:bCs/>
          <w:kern w:val="2"/>
          <w:sz w:val="20"/>
        </w:rPr>
        <w:t>, “</w:t>
      </w:r>
      <w:r w:rsidR="00270573" w:rsidRPr="005C399B">
        <w:rPr>
          <w:sz w:val="20"/>
        </w:rPr>
        <w:t>UMTS physical channels and mapping of transport channels onto physical channels</w:t>
      </w:r>
      <w:r w:rsidR="00942063" w:rsidRPr="005C399B">
        <w:rPr>
          <w:bCs/>
          <w:kern w:val="2"/>
          <w:sz w:val="20"/>
        </w:rPr>
        <w:t>”</w:t>
      </w:r>
      <w:r w:rsidR="00973ACF" w:rsidRPr="005C399B">
        <w:rPr>
          <w:bCs/>
          <w:kern w:val="2"/>
          <w:sz w:val="20"/>
        </w:rPr>
        <w:t>, 3GPP specification</w:t>
      </w:r>
    </w:p>
    <w:sectPr w:rsidR="00942063" w:rsidRPr="005C399B">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C4EDD" w14:textId="77777777" w:rsidR="00191C29" w:rsidRDefault="00191C29">
      <w:pPr>
        <w:spacing w:after="0"/>
      </w:pPr>
      <w:r>
        <w:separator/>
      </w:r>
    </w:p>
  </w:endnote>
  <w:endnote w:type="continuationSeparator" w:id="0">
    <w:p w14:paraId="5CE36843" w14:textId="77777777" w:rsidR="00191C29" w:rsidRDefault="00191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44332" w14:textId="77777777" w:rsidR="00191C29" w:rsidRDefault="00191C29">
      <w:pPr>
        <w:spacing w:after="0"/>
      </w:pPr>
      <w:r>
        <w:separator/>
      </w:r>
    </w:p>
  </w:footnote>
  <w:footnote w:type="continuationSeparator" w:id="0">
    <w:p w14:paraId="211A86BB" w14:textId="77777777" w:rsidR="00191C29" w:rsidRDefault="00191C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0109FB"/>
    <w:multiLevelType w:val="hybridMultilevel"/>
    <w:tmpl w:val="1682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11"/>
  </w:num>
  <w:num w:numId="3">
    <w:abstractNumId w:val="18"/>
  </w:num>
  <w:num w:numId="4">
    <w:abstractNumId w:val="12"/>
  </w:num>
  <w:num w:numId="5">
    <w:abstractNumId w:val="15"/>
  </w:num>
  <w:num w:numId="6">
    <w:abstractNumId w:val="1"/>
  </w:num>
  <w:num w:numId="7">
    <w:abstractNumId w:val="4"/>
  </w:num>
  <w:num w:numId="8">
    <w:abstractNumId w:val="8"/>
  </w:num>
  <w:num w:numId="9">
    <w:abstractNumId w:val="17"/>
  </w:num>
  <w:num w:numId="10">
    <w:abstractNumId w:val="2"/>
  </w:num>
  <w:num w:numId="11">
    <w:abstractNumId w:val="5"/>
  </w:num>
  <w:num w:numId="12">
    <w:abstractNumId w:val="0"/>
  </w:num>
  <w:num w:numId="13">
    <w:abstractNumId w:val="16"/>
  </w:num>
  <w:num w:numId="14">
    <w:abstractNumId w:val="3"/>
  </w:num>
  <w:num w:numId="15">
    <w:abstractNumId w:val="6"/>
  </w:num>
  <w:num w:numId="16">
    <w:abstractNumId w:val="14"/>
  </w:num>
  <w:num w:numId="17">
    <w:abstractNumId w:val="9"/>
  </w:num>
  <w:num w:numId="18">
    <w:abstractNumId w:val="13"/>
  </w:num>
  <w:num w:numId="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C63"/>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1FC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0573"/>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2CEC"/>
    <w:rsid w:val="003A411A"/>
    <w:rsid w:val="003A6E17"/>
    <w:rsid w:val="003A7440"/>
    <w:rsid w:val="003A7857"/>
    <w:rsid w:val="003A79D8"/>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6813"/>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293"/>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97E20"/>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99B"/>
    <w:rsid w:val="005C3AF1"/>
    <w:rsid w:val="005C4E28"/>
    <w:rsid w:val="005C5842"/>
    <w:rsid w:val="005C7529"/>
    <w:rsid w:val="005D37E1"/>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53BA"/>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055"/>
    <w:rsid w:val="00796AC5"/>
    <w:rsid w:val="0079749C"/>
    <w:rsid w:val="007A2725"/>
    <w:rsid w:val="007A4A43"/>
    <w:rsid w:val="007A5222"/>
    <w:rsid w:val="007A717D"/>
    <w:rsid w:val="007B06FB"/>
    <w:rsid w:val="007B11AE"/>
    <w:rsid w:val="007B24A2"/>
    <w:rsid w:val="007B2908"/>
    <w:rsid w:val="007B4145"/>
    <w:rsid w:val="007B42A8"/>
    <w:rsid w:val="007B7756"/>
    <w:rsid w:val="007C0BB0"/>
    <w:rsid w:val="007C1368"/>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1A9"/>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0AE"/>
    <w:rsid w:val="008D14CC"/>
    <w:rsid w:val="008D46EB"/>
    <w:rsid w:val="008D5786"/>
    <w:rsid w:val="008D62C5"/>
    <w:rsid w:val="008D62E5"/>
    <w:rsid w:val="008D664F"/>
    <w:rsid w:val="008D6813"/>
    <w:rsid w:val="008D6D16"/>
    <w:rsid w:val="008E2735"/>
    <w:rsid w:val="008E2F3C"/>
    <w:rsid w:val="008E367C"/>
    <w:rsid w:val="008F18D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5A4F"/>
    <w:rsid w:val="0092719F"/>
    <w:rsid w:val="0093001A"/>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4855"/>
    <w:rsid w:val="00956B0F"/>
    <w:rsid w:val="00963315"/>
    <w:rsid w:val="00965386"/>
    <w:rsid w:val="00965E8C"/>
    <w:rsid w:val="00972FA7"/>
    <w:rsid w:val="00973ACF"/>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E38"/>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1A3C"/>
    <w:rsid w:val="00C63E99"/>
    <w:rsid w:val="00C656C5"/>
    <w:rsid w:val="00C66E36"/>
    <w:rsid w:val="00C70DE4"/>
    <w:rsid w:val="00C7263D"/>
    <w:rsid w:val="00C74612"/>
    <w:rsid w:val="00C762C0"/>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1504"/>
    <w:rsid w:val="00D42B2C"/>
    <w:rsid w:val="00D45E6E"/>
    <w:rsid w:val="00D478C8"/>
    <w:rsid w:val="00D50B2E"/>
    <w:rsid w:val="00D51BD7"/>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D7AC7"/>
    <w:rsid w:val="00EE1955"/>
    <w:rsid w:val="00EE1ECD"/>
    <w:rsid w:val="00EE38E4"/>
    <w:rsid w:val="00EE39FE"/>
    <w:rsid w:val="00EE3C94"/>
    <w:rsid w:val="00EE6132"/>
    <w:rsid w:val="00EE70A8"/>
    <w:rsid w:val="00EE73C4"/>
    <w:rsid w:val="00EF041C"/>
    <w:rsid w:val="00EF07E6"/>
    <w:rsid w:val="00EF12A5"/>
    <w:rsid w:val="00EF15B1"/>
    <w:rsid w:val="00EF1C4F"/>
    <w:rsid w:val="00EF1D0E"/>
    <w:rsid w:val="00EF2AB1"/>
    <w:rsid w:val="00EF2DD1"/>
    <w:rsid w:val="00EF3D25"/>
    <w:rsid w:val="00EF5372"/>
    <w:rsid w:val="00F001A7"/>
    <w:rsid w:val="00F00795"/>
    <w:rsid w:val="00F00E46"/>
    <w:rsid w:val="00F0145D"/>
    <w:rsid w:val="00F02212"/>
    <w:rsid w:val="00F103AB"/>
    <w:rsid w:val="00F12559"/>
    <w:rsid w:val="00F128DC"/>
    <w:rsid w:val="00F1468B"/>
    <w:rsid w:val="00F16287"/>
    <w:rsid w:val="00F213F2"/>
    <w:rsid w:val="00F2226A"/>
    <w:rsid w:val="00F2284F"/>
    <w:rsid w:val="00F22872"/>
    <w:rsid w:val="00F23386"/>
    <w:rsid w:val="00F253E5"/>
    <w:rsid w:val="00F256C5"/>
    <w:rsid w:val="00F25804"/>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0587"/>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character" w:styleId="Strong">
    <w:name w:val="Strong"/>
    <w:basedOn w:val="DefaultParagraphFont"/>
    <w:qFormat/>
    <w:rsid w:val="00270573"/>
    <w:rPr>
      <w:b/>
      <w:bCs/>
    </w:rPr>
  </w:style>
  <w:style w:type="paragraph" w:styleId="Revision">
    <w:name w:val="Revision"/>
    <w:hidden/>
    <w:uiPriority w:val="99"/>
    <w:semiHidden/>
    <w:rsid w:val="008D10A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character" w:styleId="Strong">
    <w:name w:val="Strong"/>
    <w:basedOn w:val="DefaultParagraphFont"/>
    <w:qFormat/>
    <w:rsid w:val="00270573"/>
    <w:rPr>
      <w:b/>
      <w:bCs/>
    </w:rPr>
  </w:style>
  <w:style w:type="paragraph" w:styleId="Revision">
    <w:name w:val="Revision"/>
    <w:hidden/>
    <w:uiPriority w:val="99"/>
    <w:semiHidden/>
    <w:rsid w:val="008D10A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5A9D381E-C516-456E-9830-CEB37825F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C1BBDA-741B-4446-B82F-373D4C78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2014-08-09T07:28:00Z</dcterms:created>
  <dcterms:modified xsi:type="dcterms:W3CDTF">2014-08-09T07:28:00Z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0x0101005EBAF2CA6C567C4DADFF6124F5EA191E</vt:lpwstr>
  </property>
</Properties>
</file>